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Winner: Senna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GREGERS SALL:  Good evening.  I would very much like to thank Manish, Asif, James, Working Title, but most of all, I would like to thank Ayrton Senna, because having the opportunity to go racing with him for a year was an incredible privilege.  Thank you very much.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CHRIS KING:  I have a confession to make: I loathe Formula 1, and so to be faced with 5,000 hours of that when I first came to work on the film wasn't exactly an enticing prospect, but I am very pleased that Gregers and I and everybody involved in it was able to find the story of that brilliant, charming, brave man and share it with everybody who so enjoyed the film.</w:t>
      </w:r>
    </w:p>
    <w:p>
      <w:pPr/>
      <w:r>
        <w:rPr>
          <w:rFonts w:ascii="Arial" w:h-ansi="Arial" w:cs="Arial"/>
          <w:sz w:val="20"/>
          <w:sz-cs w:val="20"/>
        </w:rPr>
        <w:t xml:space="preserve">Thank you very much.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